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32 (PPA Contracting Structure)</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8iqtdx7ds0v9" w:id="0"/>
      <w:bookmarkEnd w:id="0"/>
      <w:r w:rsidDel="00000000" w:rsidR="00000000" w:rsidRPr="00000000">
        <w:rPr>
          <w:rFonts w:ascii="Arial" w:cs="Arial" w:eastAsia="Arial" w:hAnsi="Arial"/>
          <w:color w:val="000000"/>
          <w:sz w:val="24"/>
          <w:szCs w:val="24"/>
          <w:rtl w:val="0"/>
        </w:rPr>
        <w:t xml:space="preserve">This Schedule sets out additional details in respect of the contracting structuring for the sale and purchase of the Contract Electricity. </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This schedule may not be needed in a simple pay as produced structure.  In the case of more complex structures such as pay as forecasted, pay as nominated or baseload, then additional provisions will be required.  Buyers should seek market and technical advice to draft this Schedule.] </w:t>
      </w:r>
    </w:p>
    <w:p w:rsidR="00000000" w:rsidDel="00000000" w:rsidP="00000000" w:rsidRDefault="00000000" w:rsidRPr="00000000" w14:paraId="00000005">
      <w:pPr>
        <w:pStyle w:val="Heading1"/>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r>
  </w:p>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32 (PPA Contracting Structure)</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